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641350</wp:posOffset>
            </wp:positionH>
            <wp:positionV relativeFrom="paragraph">
              <wp:posOffset>2444750</wp:posOffset>
            </wp:positionV>
            <wp:extent cx="2115185" cy="181038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15185" cy="1810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0800" distB="139700" distL="114300" distR="114300" simplePos="0" relativeHeight="125829379" behindDoc="0" locked="0" layoutInCell="1" allowOverlap="1">
            <wp:simplePos x="0" y="0"/>
            <wp:positionH relativeFrom="page">
              <wp:posOffset>5472430</wp:posOffset>
            </wp:positionH>
            <wp:positionV relativeFrom="paragraph">
              <wp:posOffset>1207135</wp:posOffset>
            </wp:positionV>
            <wp:extent cx="4133215" cy="330390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133215" cy="3303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90500" distL="114300" distR="114300" simplePos="0" relativeHeight="125829380" behindDoc="0" locked="0" layoutInCell="1" allowOverlap="1">
            <wp:simplePos x="0" y="0"/>
            <wp:positionH relativeFrom="page">
              <wp:posOffset>11863705</wp:posOffset>
            </wp:positionH>
            <wp:positionV relativeFrom="paragraph">
              <wp:posOffset>12700</wp:posOffset>
            </wp:positionV>
            <wp:extent cx="1085215" cy="125603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85215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3000" cy="10693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5113000" cy="10693400"/>
                        </a:xfrm>
                        <a:prstGeom prst="rect"/>
                        <a:solidFill>
                          <a:srgbClr val="ED1B2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190.pt;height:842.pt;z-index:-251658240;mso-position-horizontal-relative:page;mso-position-vertical-relative:page;z-index:-251658752" fillcolor="#ED1B24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последние годы обострилась проблема исламского экс - тремизма. Широкое распространение получила ваххабит</w:t>
        <w:softHyphen/>
        <w:t>ская идеология.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Политический экстремизм — это движения против сущест</w:t>
        <w:softHyphen/>
        <w:t>вующего конституционного строя.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настоящее время российскими праворадикальными мо - лодежными объединениями используется сетевое постро</w:t>
        <w:softHyphen/>
        <w:t>ение автономных ячеек с общими целями и задачами, но без централизованного управления, уязвимого для право</w:t>
        <w:softHyphen/>
        <w:t>охранительных органов. Такую тактику применяют ислами</w:t>
        <w:softHyphen/>
        <w:t>сты и радикальные экологи.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ПОДРОСТКОВ ЛОВЯТ В СЕТИ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Интернет становится мощ</w:t>
        <w:softHyphen/>
        <w:t>ным пропагандистским ин</w:t>
        <w:softHyphen/>
        <w:t>струментом различных экс</w:t>
        <w:softHyphen/>
        <w:t>тремистских объединений, в первую очередь молодеж</w:t>
        <w:softHyphen/>
        <w:t>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Молодые люди, склонные к зависимости от соци 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альных сетей, зачастую страдают от неврозов и нехватки внимания. Они являются наиболее уязвимыми для экстре</w:t>
        <w:softHyphen/>
        <w:t>мистской агитации.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Чтобы не допустить организации беспорядков и распро</w:t>
        <w:softHyphen/>
        <w:t>странения экстремистских идей через интернет, право</w:t>
        <w:softHyphen/>
        <w:t>охранительные ведомства и надзорные структуры ведут мониторинг.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Родителям рекомендуется тоже контролировать, по каким лабиринтам Сети лазит их чадо. Например, установить на его компьютер средства контентной фильтрации.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ЦЕНА ПРОСТУПКОВ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Экстремистская деятельность в России карается при пер</w:t>
        <w:softHyphen/>
        <w:t>вом и некрупном правонарушении административными штрафами. В более тяжелых случаях применяются наказа</w:t>
        <w:softHyphen/>
        <w:t>ния по статьям Уголовного кодекса: ст. 280, 282.1 и 282.2. Они предусматривают ответственность за публичные при</w:t>
        <w:softHyphen/>
        <w:t>зывы к экстремистской деятельности, за возбуждение не</w:t>
        <w:softHyphen/>
        <w:t>нависти либо вражды, а равно унижение человеческого достоинства, за участие в экстремистском сообществе. Кроме этого, УК РФ в ряде насильственных статей (побои, убийство) устанавливает ответственность за преступле</w:t>
        <w:softHyphen/>
        <w:t>ния по мотивам политической, идеологической, расовой, национальной или религиозной ненависти или вражды по мотивам ненависти или вражды к социальной группе.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Получив клеймо экстремиста, человек ломает себе карь</w:t>
        <w:softHyphen/>
        <w:t xml:space="preserve">еру. Осужденный за такую деятельность гражданин может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быть лишен доступа к работе в органах власти или учебных заведениях, не будет допущен к службе в силовых структу</w:t>
        <w:softHyphen/>
        <w:t>рах и в охране.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НАЙТИ ХОРОШЕЕ ЗАНЯТИЕ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00" w:after="6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Петербурга и муниципальные власти ведут работу по профилактике экстремизма. В городе работают сотни подростково-молодежных клубов, в их составе более 2,5 тысячи кружков и секций разных направлений. Разно</w:t>
        <w:softHyphen/>
        <w:t>образные интеллектуальные и спортивные занятия и игры объединены темой культуры и права. Их цель — пробудить у юношей и девушек интерес к здоровому образу жизни , предотвратить рискованные увлечения расистского и на</w:t>
        <w:softHyphen/>
        <w:t>сильственного толка, содействовать творческой самореа</w:t>
        <w:softHyphen/>
        <w:t>лизации, формированию гражданской позиции и правового сознания у молодых людей.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ПОДГОТОВКЕ БУКЛЕТА ИСПОЛЬЗОВАНЫ</w:t>
        <w:br/>
        <w:t>МАТЕРИАЛЫ ИССЛЕДОВАНИЯ:</w:t>
        <w:br/>
        <w:t>«Актуальные проблемы противодействия</w:t>
        <w:br/>
        <w:t>терроризму и экстремизму». Тематический сборник</w:t>
        <w:br/>
        <w:t>под ред. д. ю. н. Красинского В. 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М., 2017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Тираж 200 экз.</w:t>
        <w:br/>
        <w:t>2020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Буклет согласован с прокуратурой</w:t>
        <w:br/>
        <w:t>Красносельского района СПб</w:t>
      </w:r>
    </w:p>
    <w:p>
      <w:pPr>
        <w:pStyle w:val="Style2"/>
        <w:keepNext w:val="0"/>
        <w:keepLines w:val="0"/>
        <w:widowControl w:val="0"/>
        <w:pBdr>
          <w:top w:val="single" w:sz="0" w:space="0" w:color="ED1B24"/>
          <w:left w:val="single" w:sz="0" w:space="0" w:color="ED1B24"/>
          <w:bottom w:val="single" w:sz="0" w:space="0" w:color="ED1B24"/>
          <w:right w:val="single" w:sz="0" w:space="0" w:color="ED1B24"/>
        </w:pBdr>
        <w:shd w:val="clear" w:color="auto" w:fill="ED1B24"/>
        <w:bidi w:val="0"/>
        <w:spacing w:before="0" w:after="84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Внутригородское муниципальное образование</w:t>
        <w:br/>
        <w:t>Санкт-Петербурга</w:t>
        <w:br/>
        <w:t>муниципальный округ Горелово</w:t>
        <w:br/>
        <w:t>198323, Санкт-Петербург, Красносельское шоссе,</w:t>
        <w:br/>
        <w:t>д. 46, лит. А,</w:t>
        <w:br/>
        <w:t>тел. (812) 404-94-99</w:t>
      </w:r>
    </w:p>
    <w:p>
      <w:pPr>
        <w:pStyle w:val="Style9"/>
        <w:keepNext/>
        <w:keepLines/>
        <w:widowControl w:val="0"/>
        <w:pBdr>
          <w:top w:val="single" w:sz="0" w:space="0" w:color="ED1B24"/>
          <w:left w:val="single" w:sz="0" w:space="0" w:color="ED1B24"/>
          <w:bottom w:val="single" w:sz="0" w:space="0" w:color="ED1B24"/>
          <w:right w:val="single" w:sz="0" w:space="0" w:color="ED1B24"/>
        </w:pBdr>
        <w:shd w:val="clear" w:color="auto" w:fill="ED1B24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ЭКСТРЕМИЗМ</w:t>
      </w:r>
      <w:bookmarkEnd w:id="4"/>
      <w:bookmarkEnd w:id="5"/>
    </w:p>
    <w:p>
      <w:pPr>
        <w:pStyle w:val="Style9"/>
        <w:keepNext/>
        <w:keepLines/>
        <w:widowControl w:val="0"/>
        <w:pBdr>
          <w:top w:val="single" w:sz="0" w:space="0" w:color="ED1B24"/>
          <w:left w:val="single" w:sz="0" w:space="0" w:color="ED1B24"/>
          <w:bottom w:val="single" w:sz="0" w:space="0" w:color="ED1B24"/>
          <w:right w:val="single" w:sz="0" w:space="0" w:color="ED1B24"/>
        </w:pBdr>
        <w:shd w:val="clear" w:color="auto" w:fill="ED1B24"/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В МОЛОДЕЖНОЙ</w:t>
        <w:br/>
        <w:t>СРЕДЕ</w:t>
      </w:r>
      <w:bookmarkEnd w:id="6"/>
      <w:bookmarkEnd w:id="7"/>
    </w:p>
    <w:p>
      <w:pPr>
        <w:pStyle w:val="Style11"/>
        <w:keepNext w:val="0"/>
        <w:keepLines w:val="0"/>
        <w:widowControl w:val="0"/>
        <w:pBdr>
          <w:top w:val="single" w:sz="0" w:space="0" w:color="ED1B24"/>
          <w:left w:val="single" w:sz="0" w:space="0" w:color="ED1B24"/>
          <w:bottom w:val="single" w:sz="0" w:space="0" w:color="ED1B24"/>
          <w:right w:val="single" w:sz="0" w:space="0" w:color="ED1B24"/>
        </w:pBdr>
        <w:shd w:val="clear" w:color="auto" w:fill="ED1B24"/>
        <w:bidi w:val="0"/>
        <w:spacing w:before="0" w:after="0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ПАМЯТКА ДЛЯ ПОДРОСТКОВ И РОДИТЕЛЕЙ 2020 ГОД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86530" cy="398653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986530" cy="398653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12700" distB="12700" distL="63500" distR="63500" simplePos="0" relativeHeight="125829381" behindDoc="0" locked="0" layoutInCell="1" allowOverlap="1">
            <wp:simplePos x="0" y="0"/>
            <wp:positionH relativeFrom="page">
              <wp:posOffset>619760</wp:posOffset>
            </wp:positionH>
            <wp:positionV relativeFrom="margin">
              <wp:posOffset>469265</wp:posOffset>
            </wp:positionV>
            <wp:extent cx="2475230" cy="1749425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475230" cy="174942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 ТАКОЕ ЭКСТРЕМИЗМ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 — угроза безопасности обще</w:t>
        <w:softHyphen/>
        <w:t>ства и государства.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Это приверженность к крайним , радикаль - ным взглядам, побу</w:t>
        <w:softHyphen/>
        <w:t>ждающим к насилию как личному, так и групповому. Среди проявлений можно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отметить пропаганду ненависти и вражды, провокацию бес</w:t>
        <w:softHyphen/>
        <w:t>порядков. В наиболее опасной форме экстремизм перехо</w:t>
        <w:softHyphen/>
        <w:t>дит в терроризм, насилие на идеологической почве. Среди видов экстремизма выделяются: политический, на</w:t>
        <w:softHyphen/>
        <w:t>циональный, религиозный, в молодежной среде и др. Росту экстремизма обычно способствуют социально-эко</w:t>
        <w:softHyphen/>
        <w:t>номические кризисы с падением уровня жизни, подавле</w:t>
        <w:softHyphen/>
        <w:t>ние властями оппозиции, преследование инакомыслия. Однако экстремизм растет и в государствах с демократи</w:t>
        <w:softHyphen/>
        <w:t>ческим устройством, с высоким уровнем прав и свобод. Экстремизм в государстве может подогреваться извне це</w:t>
        <w:softHyphen/>
        <w:t>ленаправленными действиями ряда иностранных держав, которые преследуют свои геополитические интересы и фи</w:t>
        <w:softHyphen/>
        <w:t>нансируют так называемые «цветные революции». Противодействие экстремизму предполагает последова</w:t>
        <w:softHyphen/>
        <w:t>тельное уменьшение числа лиц, недовольных существую</w:t>
        <w:softHyphen/>
        <w:t>щей социально-политической обстановкой в стране, что требует от правительства разработки перспектив развития общества, грамотной и справедливой политики в соответ</w:t>
        <w:softHyphen/>
        <w:t>ствии с интересами и потребностями граждан на основе объединяющей нацию идеологии.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СОСТАВЛЯЮЩИЕ ЭКСТРЕМИЗМА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Юридическое определение того, какие действия считают</w:t>
        <w:softHyphen/>
        <w:t xml:space="preserve">ся экстремистскими, содержится в статье 1 Федерального закона «О противодействии экстремистской деятельности»: </w:t>
      </w: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посягательство на насильственное изменение основ кон</w:t>
        <w:softHyphen/>
        <w:t>ституционного строя и нарушение целостности страны;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публичное оправдание терроризма;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возбуждение социальной, расовой, национальной или ре</w:t>
        <w:softHyphen/>
        <w:t>лигиозной розни;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нарушение прав гражданина в зависимости от его соци</w:t>
        <w:softHyphen/>
        <w:t>альной, расовой, национальной, религиозной принадлеж</w:t>
        <w:softHyphen/>
        <w:t>ности;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воспрепятствование осуществлению избирательных прав, сопряженное с насилием;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насильственное воспрепятствование законной деятель</w:t>
        <w:softHyphen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ности органов власти, общественных и религиозных орга</w:t>
        <w:softHyphen/>
        <w:t>низаций;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преступления по мотивам политической, идеологиче</w:t>
        <w:softHyphen/>
        <w:t>ской, расовой, национальной или религиозной ненависти или вражды;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публичное демонстрирование нацистской символики;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публичное ложное обвинение государственных долж</w:t>
        <w:softHyphen/>
        <w:t>ностных лиц.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</w:t>
      </w:r>
      <w:bookmarkEnd w:id="10"/>
      <w:bookmarkEnd w:id="11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МОЛОДЕЖНОЙ СРЕДЕ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drawing>
          <wp:anchor distT="0" distB="0" distL="50800" distR="50800" simplePos="0" relativeHeight="125829382" behindDoc="0" locked="0" layoutInCell="1" allowOverlap="1">
            <wp:simplePos x="0" y="0"/>
            <wp:positionH relativeFrom="page">
              <wp:posOffset>7623810</wp:posOffset>
            </wp:positionH>
            <wp:positionV relativeFrom="margin">
              <wp:posOffset>2371090</wp:posOffset>
            </wp:positionV>
            <wp:extent cx="1908175" cy="98742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908175" cy="9874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 в молодежной среде представляет собой не</w:t>
        <w:softHyphen/>
        <w:t>адекватные попытки части мо</w:t>
        <w:softHyphen/>
        <w:t>лодежи разрешить социально</w:t>
        <w:softHyphen/>
        <w:t>политические противоречия в области классовых, межэтни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ческих, религиозных и иных социальных отношений. Прене</w:t>
        <w:softHyphen/>
        <w:t>брежение к действующим в обществе правилам поведения, нетерпимость к людям других национальностей и взглядов — вот основные формы выражения молодежного экстремизма. Среди особенностей экстремизма в молодежной среде можно выделить следующие.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 формируется обычно в маргинальных груп</w:t>
        <w:softHyphen/>
        <w:t>пах, где у молодых людей нет твердых жизненных перспек</w:t>
        <w:softHyphen/>
        <w:t>тив. Но сейчас в радикальные группировки втягиваются и студенты из благополучных семей.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 чаще всего проявляется при нехватке в об</w:t>
        <w:softHyphen/>
        <w:t>ществе механизмов, способствующих привитию ориенти</w:t>
        <w:softHyphen/>
        <w:t>ров на законопослушность, согласие с государственными институтами 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 возникает в обществах и группах, которым присущи низкий уровень самоуважения и игнорирование прав личности.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Экстремизм свойствен общностям не столько с низким уровнем культуры, сколько с культурой разобщенной.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after="28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Эти группы придерживаются идеологии насилия и нрав</w:t>
        <w:softHyphen/>
        <w:t>ственной неразборчивости в способах достижения целей.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ГРУППА РИСКА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Молодежь во все времена была подвержена радикальным настроениям. В силу ее свойств уровень радикальных на</w:t>
        <w:softHyphen/>
        <w:t>строений среди молодежи всегда выше, чем среди осталь</w:t>
        <w:softHyphen/>
        <w:t>ного населения.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both"/>
      </w:pPr>
      <w:r>
        <w:rPr>
          <w:b/>
          <w:bCs/>
          <w:color w:val="ED1C24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Юному возрасту, когда личность еще формируется, свой</w:t>
        <w:softHyphen/>
        <w:t>ственны эмоциональная возбудимость, неумение сдержи</w:t>
        <w:softHyphen/>
        <w:t>ваться, отсутствие навыков в разрешении конфликтных ситуаций.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Молодой человек стремится самоутвердиться. Стремле</w:t>
        <w:softHyphen/>
        <w:t>ние определить и расширить свои возможности и преодо</w:t>
        <w:softHyphen/>
        <w:t>леть границы дозволенного бросает в крайности практи</w:t>
        <w:softHyphen/>
        <w:t>чески любого молодого человека в возрастной категории условно от 13 до 20 лет.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Подростки острее воспринимают социальное неравенст</w:t>
        <w:softHyphen/>
        <w:t>во. Общество, неспособное оградить юнцов от нетерпимо</w:t>
        <w:softHyphen/>
        <w:t>сти и насилия, провоцирует их на ответную озлобленность и агрессию.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Подростки и молодые люди легко поддаются внушению и моде, перенимают стереотипы поведения.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30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Молодые люди не видят возможности получить качест</w:t>
        <w:softHyphen/>
        <w:t>венное высшее образование и престижную работу. При ак</w:t>
        <w:softHyphen/>
        <w:t>тивной деятельности внешних и внутренних деструктивных сил молодежь может быть использована для широкомас</w:t>
        <w:softHyphen/>
        <w:t>штабных экстремистских акций, попыток дестабилизации общественно-политической обстановки.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РАДИКАЛЬНЫЕ ТЕЧЕНИЯ</w:t>
      </w:r>
      <w:bookmarkEnd w:id="16"/>
      <w:bookmarkEnd w:id="17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86530" cy="240792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986530" cy="24079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 идейно-политической направленности молодежные экстремистские объединения можно классифицировать следующим образом: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леворадикальные (радикальные коммунисты, анархисты);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либерально-демократические;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праворадикальные (национал-патриоты, неонацисты);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религиозные (приверженцы деструктивных религиозных культов).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Наибольшую опасность представляют молодежные объ</w:t>
        <w:softHyphen/>
        <w:t>единения праворадикальной идейно-политической направ</w:t>
        <w:softHyphen/>
        <w:t>ленности, деятельность которых отличается особой жесто</w:t>
        <w:softHyphen/>
        <w:t>костью, высоким уровнем организации. Эти объединения многочисленны, имеют развитую идеологию, активно ис</w:t>
        <w:softHyphen/>
        <w:t>пользуют разнообразные пропагандистские методы.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30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5113000" cy="10693400"/>
                        </a:xfrm>
                        <a:prstGeom prst="rect"/>
                        <a:solidFill>
                          <a:srgbClr val="ED1B2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190.pt;height:842.pt;z-index:-251658240;mso-position-horizontal-relative:page;mso-position-vertical-relative:page;z-index:-251658751" fillcolor="#ED1B24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национализма характерны обиды на другие народы, а также поиск врага по внешним признакам.</w:t>
      </w:r>
    </w:p>
    <w:sectPr>
      <w:footnotePr>
        <w:pos w:val="pageBottom"/>
        <w:numFmt w:val="decimal"/>
        <w:numRestart w:val="continuous"/>
      </w:footnotePr>
      <w:pgSz w:w="23800" w:h="16840" w:orient="landscape"/>
      <w:pgMar w:top="682" w:left="957" w:right="1075" w:bottom="727" w:header="254" w:footer="299" w:gutter="0"/>
      <w:pgNumType w:start="1"/>
      <w:cols w:num="3" w:space="720" w:equalWidth="0">
        <w:col w:w="6489" w:space="1090"/>
        <w:col w:w="6489" w:space="1210"/>
        <w:col w:w="6489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ED1C2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ED1C24"/>
      <w:sz w:val="32"/>
      <w:szCs w:val="32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6"/>
      <w:szCs w:val="66"/>
      <w:u w:val="none"/>
    </w:rPr>
  </w:style>
  <w:style w:type="character" w:customStyle="1" w:styleId="CharStyle12">
    <w:name w:val="Подпись к картинке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ED1C24"/>
      <w:sz w:val="32"/>
      <w:szCs w:val="32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440" w:line="262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6"/>
      <w:szCs w:val="66"/>
      <w:u w:val="none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314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&lt;CCEEEBEEE4E5E6EDFBE920FDEAF1F2F0E5ECE8E7EC2E696E6464&gt;</dc:title>
  <dc:subject/>
  <dc:creator>Verstka</dc:creator>
  <cp:keywords/>
</cp:coreProperties>
</file>